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0" w:line="7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月云南省公安厅交通警察总队“五大曝光”行动</w:t>
      </w:r>
    </w:p>
    <w:p>
      <w:pPr>
        <w:spacing w:after="0"/>
        <w:jc w:val="center"/>
        <w:rPr>
          <w:rFonts w:hint="eastAsia" w:ascii="黑体" w:hAnsi="黑体" w:eastAsia="黑体" w:cs="黑体"/>
          <w:color w:val="C55911"/>
          <w:sz w:val="32"/>
          <w:szCs w:val="32"/>
        </w:rPr>
      </w:pPr>
    </w:p>
    <w:p>
      <w:pPr>
        <w:spacing w:after="0"/>
        <w:jc w:val="center"/>
        <w:rPr>
          <w:rFonts w:hint="eastAsia"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color w:val="C55911"/>
          <w:sz w:val="32"/>
          <w:szCs w:val="32"/>
        </w:rPr>
        <w:t>一、突出违法车辆曝光</w:t>
      </w:r>
    </w:p>
    <w:p>
      <w:pPr>
        <w:spacing w:after="0"/>
        <w:ind w:firstLine="320" w:firstLineChars="1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截至2020年5月31日，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数量较多的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重型货车20辆：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080"/>
        <w:gridCol w:w="1080"/>
        <w:gridCol w:w="1575"/>
        <w:gridCol w:w="3435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号牌种类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34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机动车所有人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AG8275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重型厢式货车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陆秀娟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AS9695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重型自卸货车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余家顺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E38479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重型自卸货车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楚雄双优汽车服务有限公司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H21805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重型仓栅式货车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云南雄邦物流有限公司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AE1208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重型仓栅式货车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云南富隆安泰物流有限公司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L70721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重型自卸货车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只泽武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AV8563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重型栏板货车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刘光会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AG6113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重型厢式货车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昆明堰驰汽车运输服务有限公司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G57193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重型仓栅式货车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红河万胜锰业有限责任公司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M32978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保山市城建混凝土有限公司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L67993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重型自卸货车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L83505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重型半挂牵引车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祥云县九龙再生资源综合利用有限公司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F65137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重型厢式货车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管凤英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L85306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重型自卸货车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字文洪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G61501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重型仓栅式货车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开远市宏丰矿业有限公司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G40078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重型仓栅式货车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云南省建水县曲江汽车运输公司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D80561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重型仓栅式货车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谢胜龙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F79464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重型仓栅式货车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李兰英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F60248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重型仓栅式货车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龙昌海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E36830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重型自卸货车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楚雄双优汽车服务有限公司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</w:tr>
    </w:tbl>
    <w:p>
      <w:pPr>
        <w:spacing w:after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交通违法未处理数量较多的危化品运输车辆4辆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07"/>
        <w:gridCol w:w="1023"/>
        <w:gridCol w:w="995"/>
        <w:gridCol w:w="1187"/>
        <w:gridCol w:w="1213"/>
        <w:gridCol w:w="2346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号牌种类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中文品牌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使用性质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机动车所有人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云F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小型汽车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F153CH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江特牌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危化品运输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云南诚昊物流有限公司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云F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小型汽车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F708CH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江铃江特牌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危化品运输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云南诚昊物流有限公司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云F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小型汽车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F8361S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炎帝牌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危化品运输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云南诚昊物流有限公司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云F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小型汽车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F0873V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炎帝牌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危化品运输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云南诚昊物流有限公司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</w:tbl>
    <w:p>
      <w:pPr>
        <w:spacing w:after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after="0"/>
        <w:jc w:val="center"/>
        <w:rPr>
          <w:rFonts w:hint="eastAsia"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color w:val="C55911"/>
          <w:sz w:val="32"/>
          <w:szCs w:val="32"/>
        </w:rPr>
        <w:t>二、典型事故案例曝光</w:t>
      </w:r>
    </w:p>
    <w:p>
      <w:pPr>
        <w:spacing w:after="0" w:line="600" w:lineRule="exact"/>
        <w:ind w:firstLine="640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昆明市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石林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县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驾驶人无证驾驶超载超速货车致三人死亡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道路交通事故</w:t>
      </w: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2020年4月30日7时30分许，四川省仁寿县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eastAsia" w:ascii="仿宋_GB2312" w:hAnsi="仿宋_GB2312" w:eastAsia="仿宋_GB2312" w:cs="仿宋_GB2312"/>
          <w:sz w:val="32"/>
          <w:szCs w:val="32"/>
        </w:rPr>
        <w:t>驾驶云A号“长安”牌小型面包车载刘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eastAsia" w:ascii="仿宋_GB2312" w:hAnsi="仿宋_GB2312" w:eastAsia="仿宋_GB2312" w:cs="仿宋_GB2312"/>
          <w:sz w:val="32"/>
          <w:szCs w:val="32"/>
        </w:rPr>
        <w:t>、郑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eastAsia" w:ascii="仿宋_GB2312" w:hAnsi="仿宋_GB2312" w:eastAsia="仿宋_GB2312" w:cs="仿宋_GB2312"/>
          <w:sz w:val="32"/>
          <w:szCs w:val="32"/>
        </w:rPr>
        <w:t>行驶至石林县境内省道S209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K277+706M处，在避让路口驶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</w:t>
      </w:r>
      <w:r>
        <w:rPr>
          <w:rFonts w:hint="eastAsia" w:ascii="仿宋_GB2312" w:hAnsi="仿宋_GB2312" w:eastAsia="仿宋_GB2312" w:cs="仿宋_GB2312"/>
          <w:sz w:val="32"/>
          <w:szCs w:val="32"/>
        </w:rPr>
        <w:t>的车辆时，驶入对向车道，与师宗县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eastAsia" w:ascii="仿宋_GB2312" w:hAnsi="仿宋_GB2312" w:eastAsia="仿宋_GB2312" w:cs="仿宋_GB2312"/>
          <w:sz w:val="32"/>
          <w:szCs w:val="32"/>
        </w:rPr>
        <w:t>驾驶富源县陈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某所有的</w:t>
      </w:r>
      <w:r>
        <w:rPr>
          <w:rFonts w:hint="eastAsia" w:ascii="仿宋_GB2312" w:hAnsi="仿宋_GB2312" w:eastAsia="仿宋_GB2312" w:cs="仿宋_GB2312"/>
          <w:sz w:val="32"/>
          <w:szCs w:val="32"/>
        </w:rPr>
        <w:t>云D号解放牌重型半挂牵引车（牵引云D挂号重型仓栅式半挂车）相撞，致微型面包车上驾乘人员3人死亡，两车损坏的较大道路交通事故。</w:t>
      </w:r>
    </w:p>
    <w:p>
      <w:pPr>
        <w:spacing w:after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事故发生的原因是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仁寿县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eastAsia" w:ascii="仿宋_GB2312" w:hAnsi="仿宋_GB2312" w:eastAsia="仿宋_GB2312" w:cs="仿宋_GB2312"/>
          <w:sz w:val="32"/>
          <w:szCs w:val="32"/>
        </w:rPr>
        <w:t>在路口遇车辆驶入时采取措施不当，猛打方向驶入对向车道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其承担事故的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同等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责任；师宗县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某原驾驶证</w:t>
      </w:r>
      <w:r>
        <w:rPr>
          <w:rFonts w:hint="eastAsia" w:ascii="仿宋_GB2312" w:hAnsi="仿宋_GB2312" w:eastAsia="仿宋_GB2312" w:cs="仿宋_GB2312"/>
          <w:sz w:val="32"/>
          <w:szCs w:val="32"/>
        </w:rPr>
        <w:t>因饮酒后驾驶机动车被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处以</w:t>
      </w:r>
      <w:r>
        <w:rPr>
          <w:rFonts w:hint="eastAsia" w:ascii="仿宋_GB2312" w:hAnsi="仿宋_GB2312" w:eastAsia="仿宋_GB2312" w:cs="仿宋_GB2312"/>
          <w:sz w:val="32"/>
          <w:szCs w:val="32"/>
        </w:rPr>
        <w:t>暂扣驾驶证六个月处罚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记12分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降级为“C1M”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驾驶证后</w:t>
      </w:r>
      <w:r>
        <w:rPr>
          <w:rFonts w:hint="eastAsia" w:ascii="仿宋_GB2312" w:hAnsi="仿宋_GB2312" w:eastAsia="仿宋_GB2312" w:cs="仿宋_GB2312"/>
          <w:sz w:val="32"/>
          <w:szCs w:val="32"/>
        </w:rPr>
        <w:t>未参加满分教育学习，驾驶证停止使用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情况下无证</w:t>
      </w:r>
      <w:r>
        <w:rPr>
          <w:rFonts w:hint="eastAsia" w:ascii="仿宋_GB2312" w:hAnsi="仿宋_GB2312" w:eastAsia="仿宋_GB2312" w:cs="仿宋_GB2312"/>
          <w:sz w:val="32"/>
          <w:szCs w:val="32"/>
        </w:rPr>
        <w:t>驾驶严重超载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大货车、</w:t>
      </w:r>
      <w:r>
        <w:rPr>
          <w:rFonts w:hint="eastAsia" w:ascii="仿宋_GB2312" w:hAnsi="仿宋_GB2312" w:eastAsia="仿宋_GB2312" w:cs="仿宋_GB2312"/>
          <w:sz w:val="32"/>
          <w:szCs w:val="32"/>
        </w:rPr>
        <w:t>超速行驶遇情况采取措施不当是事故发生的另一原因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其承担事故的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同等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jc w:val="both"/>
        <w:rPr>
          <w:rFonts w:hint="eastAsia" w:ascii="黑体" w:hAnsi="黑体" w:eastAsia="黑体" w:cs="黑体"/>
          <w:color w:val="C55911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事故警示广大交通参与者要遵守《道路交通安全法》等法律法规，提高法律意识、安全意识，</w:t>
      </w:r>
      <w:r>
        <w:rPr>
          <w:rFonts w:hint="eastAsia" w:ascii="仿宋_GB2312" w:hAnsi="新宋体" w:eastAsia="仿宋_GB2312"/>
          <w:color w:val="000000"/>
          <w:sz w:val="32"/>
          <w:szCs w:val="32"/>
          <w:lang w:eastAsia="zh-CN"/>
        </w:rPr>
        <w:t>驾驶车辆行经学校、交叉路口时要提前减速，确实做到“一慢二看三通过”；驾驶证被</w:t>
      </w:r>
      <w:r>
        <w:rPr>
          <w:rFonts w:hint="eastAsia" w:ascii="仿宋_GB2312" w:hAnsi="仿宋_GB2312" w:eastAsia="仿宋_GB2312" w:cs="仿宋_GB2312"/>
          <w:sz w:val="32"/>
          <w:szCs w:val="32"/>
        </w:rPr>
        <w:t>暂扣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期间驾驶车辆属无证驾驶，交通违法记分满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12分未参加安全学习教育</w:t>
      </w:r>
      <w:r>
        <w:rPr>
          <w:rFonts w:hint="eastAsia" w:ascii="仿宋_GB2312" w:hAnsi="新宋体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驾驶证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</w:rPr>
        <w:t>停止使用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也不能</w:t>
      </w:r>
      <w:r>
        <w:rPr>
          <w:rFonts w:hint="eastAsia" w:ascii="仿宋_GB2312" w:hAnsi="新宋体" w:eastAsia="仿宋_GB2312"/>
          <w:color w:val="000000"/>
          <w:sz w:val="32"/>
          <w:szCs w:val="32"/>
          <w:lang w:eastAsia="zh-CN"/>
        </w:rPr>
        <w:t>驾驶车辆；车主在雇用驾驶人时要认真履行安全管理责任，要随时掌握了解驾驶人驾驶资格证的情况，确保车辆与驾驶人准驾资质一致，否则发生事故后也要承担民事赔偿的连带责任。</w:t>
      </w:r>
    </w:p>
    <w:p>
      <w:pPr>
        <w:numPr>
          <w:ilvl w:val="0"/>
          <w:numId w:val="1"/>
        </w:numPr>
        <w:spacing w:after="0"/>
        <w:ind w:firstLine="640" w:firstLineChars="200"/>
        <w:jc w:val="center"/>
        <w:rPr>
          <w:rFonts w:hint="eastAsia" w:ascii="黑体" w:hAnsi="黑体" w:eastAsia="黑体" w:cs="黑体"/>
          <w:color w:val="C559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C55911"/>
          <w:sz w:val="32"/>
          <w:szCs w:val="32"/>
          <w:lang w:val="en-US" w:eastAsia="zh-CN"/>
        </w:rPr>
        <w:t>事故多发路段</w:t>
      </w:r>
    </w:p>
    <w:p>
      <w:pPr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G8511昆磨高速元磨段：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1、昆明往普洱方向K243+500米路段为7公里长下坡，沿途有三公箐隧道，在坡顶设有大风垭口加水站。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2、昆明往普洱方向K275至K289路段为14公里长下坡，沿途有布笼箐隧道、老苍坡1、2、3、4、5、6号隧道等多个隧道，在坡顶设有布笼箐加水站。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3、昆明往普洱方向K306+600米至K320+600米路段为14公里长下坡，在坡顶设有通关服务区和加水站。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4、普洱往昆明方向K303至K289路段为14公里长下坡，沿途有芭蕉箐隧道、深沟隧道、忠爱桥隧道等多个隧道，在坡顶设有通关服务区服务区和加水站。</w:t>
      </w:r>
    </w:p>
    <w:p>
      <w:pPr>
        <w:ind w:firstLine="645"/>
        <w:rPr>
          <w:rFonts w:hint="default" w:ascii="黑体" w:hAnsi="黑体" w:eastAsia="黑体" w:cs="仿宋_GB2312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G8511昆磨高速磨思段：</w:t>
      </w:r>
      <w:r>
        <w:rPr>
          <w:rFonts w:hint="eastAsia" w:ascii="黑体" w:hAnsi="黑体" w:eastAsia="黑体" w:cs="仿宋_GB2312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 xml:space="preserve"> </w:t>
      </w: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</w:t>
      </w:r>
      <w:r>
        <w:rPr>
          <w:rFonts w:hint="eastAsia" w:ascii="仿宋_GB2312" w:eastAsia="仿宋_GB2312"/>
          <w:color w:val="000000"/>
          <w:sz w:val="32"/>
          <w:szCs w:val="32"/>
        </w:rPr>
        <w:t>昆明至普洱方向K364至K371路段为7公里长下坡路段,沿途有宁洱隧道,坡顶有一个大车加水站（宁洱隧道加水站），坡底有宁洱服务区。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2、昆明至普洱方向K377至K384路段为7公里下坡路段，该路段无相关服务设施。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3、昆明至普洱方向K400至K407路段为7公里下坡路段，该路段无相关服务设施。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4、昆明至普洱方向K416至K422路段为6公里长下坡，沿途有曼歇坝隧道群，分别为曼歇坝一、二、三、四号隧道等多个隧道，该路段无相关服务设施。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5、普洱至昆明方向K355至K362路段为7公里下坡路段，该路段无相关服务设施。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6、普洱至昆明方向K390至K397路段为7公里下坡路段，在坡头设有服务区和加水站，坡底那棵里服务区（目前尚未使用）。</w:t>
      </w:r>
    </w:p>
    <w:p>
      <w:pPr>
        <w:spacing w:beforeAutospacing="0" w:after="0"/>
        <w:ind w:firstLine="640" w:firstLineChars="200"/>
        <w:jc w:val="center"/>
        <w:rPr>
          <w:rFonts w:hint="eastAsia" w:ascii="黑体" w:hAnsi="黑体" w:eastAsia="黑体" w:cs="黑体"/>
          <w:color w:val="C55911"/>
          <w:sz w:val="32"/>
          <w:szCs w:val="32"/>
        </w:rPr>
      </w:pPr>
      <w:r>
        <w:rPr>
          <w:rFonts w:hint="eastAsia" w:ascii="黑体" w:hAnsi="黑体" w:eastAsia="黑体" w:cs="黑体"/>
          <w:color w:val="C55911"/>
          <w:sz w:val="32"/>
          <w:szCs w:val="32"/>
        </w:rPr>
        <w:t>四、高危风险运输企业</w:t>
      </w:r>
    </w:p>
    <w:p>
      <w:pPr>
        <w:spacing w:after="0" w:line="600" w:lineRule="exact"/>
        <w:ind w:firstLine="640" w:firstLineChars="200"/>
        <w:rPr>
          <w:rFonts w:hint="eastAsia" w:ascii="楷体" w:hAnsi="楷体" w:eastAsia="楷体" w:cs="楷体"/>
          <w:b/>
          <w:bCs/>
          <w:strike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所属车辆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超速违法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突出的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客运企业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曝光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  <w:t>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月，全省查处本省“两客一危”车辆超速违法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sz w:val="32"/>
          <w:szCs w:val="32"/>
        </w:rPr>
        <w:t>起，共涉及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sz w:val="32"/>
          <w:szCs w:val="32"/>
        </w:rPr>
        <w:t>家道路运输企业，其中，有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家道路运输企业车辆发生超速违法2起（含）以上，如下表所示：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300"/>
        <w:gridCol w:w="10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车属单位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违法数量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云南昭通交通运输集团有限责任公司镇雄分公司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云南文山交通运输集团公司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昆明慧尊旅游汽车客运有限公司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云南曲靖交通集团有限公司会泽分公司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云南昭通交通运输集团公司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云南曲靖交通集团有限公司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云南昭通交通运输集团有限责任公司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云南红河交通运输集团有限公司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云南省玉溪华泰运输有限公司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临沧市临翔区客货运输商贸有限责任公司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云南旅游汽车有限公司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云南大理交通运输集团公司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临沧滇临运输有限责任公司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普洱市天成旅游汽车客运有限责任公司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昆明石林汽车服务有限责任公司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云南曲靖交通集团有限公司宣威公司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楚雄市兴龙物流有限责任公司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昆明恒鹏货运有限公司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西双版纳昆曼运输有限责任公司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云南玉溪交通运输集团公司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云南金孔雀交通运输集团有限公司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砚山县平远通达农村运输有限责任公司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玉溪现代国际物流有限公司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云南昭通交通运输集团有限责任公司客运旅游服务分公司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西双版纳盛安旅游汽车客运有限公司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云南大理中运汽车贸易有限公司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云南通驰物流运输有限责任公司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云县旺旺物流有限责任公司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云南文山交通运输集团公司广南分公司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11"/>
          <w:szCs w:val="11"/>
        </w:rPr>
      </w:pPr>
    </w:p>
    <w:p>
      <w:pPr>
        <w:numPr>
          <w:ilvl w:val="0"/>
          <w:numId w:val="2"/>
        </w:numPr>
        <w:spacing w:after="0" w:afterAutospacing="0" w:line="240" w:lineRule="auto"/>
        <w:ind w:firstLine="320" w:firstLineChars="100"/>
        <w:jc w:val="left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所属车辆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超员违法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突出的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客运企业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曝光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  <w:t>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月，全省查处本省客运车辆超员违法有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</w:t>
      </w:r>
      <w:r>
        <w:rPr>
          <w:rFonts w:hint="eastAsia" w:ascii="仿宋_GB2312" w:hAnsi="仿宋_GB2312" w:eastAsia="仿宋_GB2312" w:cs="仿宋_GB2312"/>
          <w:sz w:val="32"/>
          <w:szCs w:val="32"/>
        </w:rPr>
        <w:t>起，共涉及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</w:rPr>
        <w:t>家道路运输企业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其中，有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家道路客运企业客运车辆发生超员违法2起（含）以上，如下表所示：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6341"/>
        <w:gridCol w:w="10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车属单位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违法数量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陆良县青山客运有限责任公司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维西县聚缘公共客运交通有限责任公司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云南曲靖交通集团有限公司会泽分公司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洱源汽车运输服务有限责任公司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马龙汽车客运服务中心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曲靖交通集团麒麟农村客运有限公司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云南曲靖交通集团有限公司富源客运分公司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元阳县红元道路运输服务有限责任公司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华坪县公交客运有限责任公司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云南曲靖交通集团有限公司陆良分公司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曲靖市沾益区恒隆公共客运有限公司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云南保山交通运输集团有限责任公司隆阳分公司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临沧市临翔区客货运输商贸有限责任公司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华坪县顺通农村客运有限公司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曲靖市沾益区金山出租汽车有限公司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云南曲靖交通集团有限公司师宗分公司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云南大理交通运输集团公司巍山分公司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</w:tbl>
    <w:p>
      <w:pPr>
        <w:spacing w:beforeAutospacing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2"/>
        </w:numPr>
        <w:spacing w:after="0" w:line="600" w:lineRule="exact"/>
        <w:ind w:left="0" w:leftChars="0" w:firstLine="320" w:firstLineChars="100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所属车辆交通违法突出</w:t>
      </w:r>
      <w:r>
        <w:rPr>
          <w:rFonts w:ascii="楷体" w:hAnsi="楷体" w:eastAsia="楷体" w:cs="楷体"/>
          <w:b w:val="0"/>
          <w:bCs w:val="0"/>
          <w:color w:val="000000"/>
          <w:sz w:val="32"/>
          <w:szCs w:val="32"/>
        </w:rPr>
        <w:t>的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本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省籍危货运输企业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spacing w:after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5月，全省查处本省危化品运输车辆960起，涉及24家“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本省籍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运输企业”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危化品运输车辆交通违法较多，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如下表所示：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0"/>
        <w:gridCol w:w="5335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" w:hRule="atLeast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车属单位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违法数量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" w:hRule="atLeast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南华县腾龙物流有限公司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" w:hRule="atLeast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云南诚昊物流有限公司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" w:hRule="atLeast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楚雄市兴龙物流有限责任公司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" w:hRule="atLeast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云南大理中运汽车贸易有限公司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" w:hRule="atLeast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文山市茂盛经贸有限公司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" w:hRule="atLeast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5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昆明如祥货运有限公司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" w:hRule="atLeast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5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昆明恒鹏货运有限公司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" w:hRule="atLeast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5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云南通驰物流运输有限责任公司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" w:hRule="atLeast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5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云南鑫鹏物流有限公司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" w:hRule="atLeast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中国石油运输有限公司云南分公司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" w:hRule="atLeast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5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昆明恒林物流有限公司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" w:hRule="atLeast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5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马龙鹏泉运输服务有限公司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" w:hRule="atLeast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5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文山安运物流有限责任公司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" w:hRule="atLeast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5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云南亿润危货运输有限公司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" w:hRule="atLeast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5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昭通长风成品油运输有限责任公司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" w:hRule="atLeast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5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云南华驿国际物流有限责任公司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" w:hRule="atLeast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5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安宁万骏物流有限公司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" w:hRule="atLeast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5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云南曲靖交通集团物流有限公司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" w:hRule="atLeast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5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昆明悦恒货运有限公司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" w:hRule="atLeast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5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云南亚泰金福实业有限公司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" w:hRule="atLeast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5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云南鼎易物流有限公司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" w:hRule="atLeast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5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元江县大宇商贸有限责任公司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" w:hRule="atLeast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5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文山雄丰危险货物运输有限公司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" w:hRule="atLeast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5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昆明采腾物流有限公司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</w:tbl>
    <w:p>
      <w:pPr>
        <w:widowControl w:val="0"/>
        <w:numPr>
          <w:ilvl w:val="0"/>
          <w:numId w:val="0"/>
        </w:numPr>
        <w:spacing w:after="200" w:line="276" w:lineRule="auto"/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</w:p>
    <w:p>
      <w:pPr>
        <w:numPr>
          <w:ilvl w:val="0"/>
          <w:numId w:val="2"/>
        </w:numPr>
        <w:ind w:left="0" w:leftChars="0" w:firstLine="320" w:firstLineChars="100"/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所属车辆交通违法突出</w:t>
      </w:r>
      <w:r>
        <w:rPr>
          <w:rFonts w:ascii="楷体" w:hAnsi="楷体" w:eastAsia="楷体" w:cs="楷体"/>
          <w:b w:val="0"/>
          <w:bCs w:val="0"/>
          <w:color w:val="000000"/>
          <w:sz w:val="32"/>
          <w:szCs w:val="32"/>
        </w:rPr>
        <w:t>的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外省籍危货运输企业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月，全省共查处外省“两客一危”车辆交通违法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269</w:t>
      </w:r>
      <w:r>
        <w:rPr>
          <w:rFonts w:hint="eastAsia" w:ascii="仿宋_GB2312" w:hAnsi="仿宋_GB2312" w:eastAsia="仿宋_GB2312" w:cs="仿宋_GB2312"/>
          <w:sz w:val="32"/>
          <w:szCs w:val="32"/>
        </w:rPr>
        <w:t>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外省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籍</w:t>
      </w:r>
      <w:r>
        <w:rPr>
          <w:rFonts w:hint="eastAsia" w:ascii="仿宋" w:hAnsi="仿宋" w:eastAsia="仿宋" w:cs="仿宋"/>
          <w:sz w:val="32"/>
          <w:szCs w:val="32"/>
        </w:rPr>
        <w:t>危货运输企业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危化品运输车辆交通违法较多，安全隐患较为突出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01"/>
        <w:gridCol w:w="5332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3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车属单位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违法数量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3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绵阳川运物流有限公司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3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宜宾市达通物流有限公司汽车队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3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宜宾天畅物流有限责任公司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3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乐山市激进物流有限责任公司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3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张家口新天地运输有限公司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53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西南运通公路物流有限公司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53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资中县发翔运输贸易有限责任公司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53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营口广汇物流有限公司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53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贵州运程通达物流有限公司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3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乐山市福翔运输有限责任公司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53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德阳腾运运业有限责任公司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</w:tbl>
    <w:p>
      <w:pPr>
        <w:spacing w:after="0"/>
        <w:ind w:firstLine="640" w:firstLineChars="200"/>
        <w:jc w:val="center"/>
        <w:rPr>
          <w:rFonts w:hint="eastAsia" w:ascii="黑体" w:hAnsi="黑体" w:eastAsia="黑体" w:cs="黑体"/>
          <w:color w:val="C55911"/>
          <w:sz w:val="32"/>
          <w:szCs w:val="32"/>
        </w:rPr>
      </w:pPr>
    </w:p>
    <w:p>
      <w:pPr>
        <w:spacing w:after="0"/>
        <w:ind w:firstLine="640" w:firstLineChars="200"/>
        <w:jc w:val="center"/>
        <w:rPr>
          <w:rFonts w:hint="eastAsia" w:ascii="黑体" w:hAnsi="黑体" w:eastAsia="黑体" w:cs="黑体"/>
          <w:color w:val="C55911"/>
          <w:sz w:val="32"/>
          <w:szCs w:val="32"/>
        </w:rPr>
      </w:pPr>
      <w:r>
        <w:rPr>
          <w:rFonts w:hint="eastAsia" w:ascii="黑体" w:hAnsi="黑体" w:eastAsia="黑体" w:cs="黑体"/>
          <w:color w:val="C55911"/>
          <w:sz w:val="32"/>
          <w:szCs w:val="32"/>
        </w:rPr>
        <w:t>五、终生禁驾名单曝光</w:t>
      </w:r>
    </w:p>
    <w:p>
      <w:pPr>
        <w:spacing w:after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交警总队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曝光</w:t>
      </w:r>
      <w:r>
        <w:rPr>
          <w:rFonts w:hint="eastAsia" w:ascii="仿宋_GB2312" w:hAnsi="仿宋_GB2312" w:eastAsia="仿宋_GB2312" w:cs="仿宋_GB2312"/>
          <w:sz w:val="32"/>
          <w:szCs w:val="32"/>
        </w:rPr>
        <w:t>一批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2020年5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月份终生禁驾人员名单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836"/>
        <w:gridCol w:w="777"/>
        <w:gridCol w:w="695"/>
        <w:gridCol w:w="5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2020年云南省5月份禁驾名单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 名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禁驾事由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1328281981******1X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李国亮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冀R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限制申领:造成交通事故后逃逸构成犯罪的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5326221983******28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杨红英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苏D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限制申领:造成交通事故后逃逸构成犯罪的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5327291986******12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饶兴华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限制申领:造成交通事故后逃逸构成犯罪的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5335271996******13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晋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限制申领:造成交通事故后逃逸构成犯罪的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5326211998******18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田大恒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限制申领:造成交通事故后逃逸构成犯罪的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5131231968******10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汪德见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云A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限制申领:造成交通事故后逃逸构成犯罪的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5301031987******38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邓文博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云A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限制申领:造成交通事故后逃逸构成犯罪的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5301291983******31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刘金华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云D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限制申领:造成交通事故后逃逸构成犯罪的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5323311991******11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石文强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云E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限制申领:造成交通事故后逃逸构成犯罪的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5326211987******70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唐汉友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云H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限制申领:造成交通事故后逃逸构成犯罪的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5329241997******58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张朝柑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云L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限制申领:造成交通事故后逃逸构成犯罪的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5332231990******57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张举飞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云P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限制申领:造成交通事故后逃逸构成犯罪的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5332221958******17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毛红云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云P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限制申领:造成交通事故后逃逸构成犯罪的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5330011995******14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匡艳华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5335261987******17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唐秀敏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5328011972******58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张宏坤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5335281980******17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陈艾者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5303261993******53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新A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5111211978******92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夏建辉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云A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5303261987******12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云A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5301121984******3X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张利雄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云A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5321221997******10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毛荣军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云C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5303261989******59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林发平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云D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5303221991******18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江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云D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5303241993******19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  其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云D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5303221982******17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武金林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云D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5323311993******15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华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云E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5323281997******16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杨成江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云E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5323281982******17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尹正普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云E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5323281981******13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李金成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云E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5304021995******13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赵志鹏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云F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5325261994******13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张应波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云G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5325301979******16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龙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云G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5326231982******14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秦明林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云H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5326221985******53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闫友聪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云H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5326221995******53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张永明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云H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5327291991******36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李思迪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云J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5327011992******17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陈双发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云J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5329011995******32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金子龙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云J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5329011990******18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张文贵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云L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5330231983******19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段胜朋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云M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5331031984******55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石二相保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云N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5333231996******39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丰李叶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云Q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5335231988******10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黄光凡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云S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5304261992******33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李星颐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云A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限制申领:造成交通事故后逃逸构成犯罪的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5330011997******18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李金才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云M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限制申领:造成交通事故后逃逸构成犯罪的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限制申领:饮酒后或者醉酒驾驶机动车发生重大交通事故构成犯罪的</w:t>
            </w:r>
          </w:p>
        </w:tc>
      </w:tr>
    </w:tbl>
    <w:p>
      <w:pPr>
        <w:spacing w:after="0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after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云南公安交警提示：请广大交通参与者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严格遵守《道路交通安全法》、</w:t>
      </w:r>
      <w:r>
        <w:rPr>
          <w:rFonts w:hint="eastAsia" w:ascii="仿宋_GB2312" w:eastAsia="仿宋_GB2312"/>
          <w:color w:val="000000"/>
          <w:sz w:val="32"/>
          <w:szCs w:val="32"/>
        </w:rPr>
        <w:t>牢固树立守法意识，从源头筑牢交通安全的“第一道防线”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共同营造和谐、有序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畅通的道路交通环境。</w:t>
      </w:r>
    </w:p>
    <w:p>
      <w:pPr>
        <w:spacing w:after="0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云南省公安厅交通警察总队宣传教育处</w:t>
      </w:r>
    </w:p>
    <w:p>
      <w:pPr>
        <w:spacing w:after="0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after="0"/>
        <w:rPr>
          <w:rFonts w:hint="eastAsia" w:ascii="仿宋_GB2312" w:hAnsi="仿宋_GB2312" w:eastAsia="仿宋_GB2312" w:cs="仿宋_GB2312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CB03F"/>
    <w:multiLevelType w:val="singleLevel"/>
    <w:tmpl w:val="5D7CB03F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DCE6920"/>
    <w:multiLevelType w:val="singleLevel"/>
    <w:tmpl w:val="5DCE6920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AB"/>
    <w:rsid w:val="00002E38"/>
    <w:rsid w:val="000402B2"/>
    <w:rsid w:val="000736ED"/>
    <w:rsid w:val="000907A9"/>
    <w:rsid w:val="00094ABC"/>
    <w:rsid w:val="00115272"/>
    <w:rsid w:val="001A72B5"/>
    <w:rsid w:val="00252D41"/>
    <w:rsid w:val="00266B38"/>
    <w:rsid w:val="00454079"/>
    <w:rsid w:val="004D7B91"/>
    <w:rsid w:val="004F30F5"/>
    <w:rsid w:val="005E6E0C"/>
    <w:rsid w:val="006E38FB"/>
    <w:rsid w:val="00935418"/>
    <w:rsid w:val="009B4D7C"/>
    <w:rsid w:val="00BA12FA"/>
    <w:rsid w:val="00DD0C9D"/>
    <w:rsid w:val="00E35942"/>
    <w:rsid w:val="00E866AB"/>
    <w:rsid w:val="00F00BD6"/>
    <w:rsid w:val="00F13F0A"/>
    <w:rsid w:val="00FA055D"/>
    <w:rsid w:val="031D686B"/>
    <w:rsid w:val="03DE45AC"/>
    <w:rsid w:val="048F7437"/>
    <w:rsid w:val="05467AC5"/>
    <w:rsid w:val="07236434"/>
    <w:rsid w:val="08176516"/>
    <w:rsid w:val="0A821410"/>
    <w:rsid w:val="0BC25A79"/>
    <w:rsid w:val="0C2060ED"/>
    <w:rsid w:val="0D1717E6"/>
    <w:rsid w:val="0FA96264"/>
    <w:rsid w:val="163F09B0"/>
    <w:rsid w:val="1A212389"/>
    <w:rsid w:val="1BDF2735"/>
    <w:rsid w:val="1E046D6A"/>
    <w:rsid w:val="2399772F"/>
    <w:rsid w:val="24A11E6F"/>
    <w:rsid w:val="25F127C6"/>
    <w:rsid w:val="2976496B"/>
    <w:rsid w:val="2C1865A3"/>
    <w:rsid w:val="2D0F244F"/>
    <w:rsid w:val="2FA23136"/>
    <w:rsid w:val="31050598"/>
    <w:rsid w:val="310E734C"/>
    <w:rsid w:val="337939D5"/>
    <w:rsid w:val="39340695"/>
    <w:rsid w:val="3A2E0451"/>
    <w:rsid w:val="412A4709"/>
    <w:rsid w:val="41CB2A09"/>
    <w:rsid w:val="41ED22F3"/>
    <w:rsid w:val="425445BF"/>
    <w:rsid w:val="428B6689"/>
    <w:rsid w:val="43CB68D3"/>
    <w:rsid w:val="43F371C6"/>
    <w:rsid w:val="460A6639"/>
    <w:rsid w:val="4BF512E9"/>
    <w:rsid w:val="4D8F46C8"/>
    <w:rsid w:val="4DF61BC9"/>
    <w:rsid w:val="4F7D5C47"/>
    <w:rsid w:val="4FB4717D"/>
    <w:rsid w:val="503E625F"/>
    <w:rsid w:val="520661EA"/>
    <w:rsid w:val="542E3786"/>
    <w:rsid w:val="566E3837"/>
    <w:rsid w:val="5C1759C7"/>
    <w:rsid w:val="622271F7"/>
    <w:rsid w:val="63943D20"/>
    <w:rsid w:val="645A09E2"/>
    <w:rsid w:val="64681F81"/>
    <w:rsid w:val="688C0952"/>
    <w:rsid w:val="691403CE"/>
    <w:rsid w:val="6BB1718D"/>
    <w:rsid w:val="6BEB5978"/>
    <w:rsid w:val="72254B8C"/>
    <w:rsid w:val="72F243CE"/>
    <w:rsid w:val="73FF4634"/>
    <w:rsid w:val="75270C03"/>
    <w:rsid w:val="7536050A"/>
    <w:rsid w:val="770E1AB4"/>
    <w:rsid w:val="7C0746BA"/>
    <w:rsid w:val="7DC760DE"/>
    <w:rsid w:val="7E3158FB"/>
    <w:rsid w:val="7F8255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line="360" w:lineRule="auto"/>
      <w:jc w:val="left"/>
    </w:pPr>
    <w:rPr>
      <w:rFonts w:ascii="宋体" w:hAnsi="宋体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7">
    <w:name w:val="No Spacing"/>
    <w:qFormat/>
    <w:uiPriority w:val="1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8">
    <w:name w:val="正文 New New"/>
    <w:basedOn w:val="1"/>
    <w:qFormat/>
    <w:uiPriority w:val="99"/>
  </w:style>
  <w:style w:type="paragraph" w:customStyle="1" w:styleId="9">
    <w:name w:val="无间隔1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font31"/>
    <w:basedOn w:val="5"/>
    <w:uiPriority w:val="0"/>
    <w:rPr>
      <w:rFonts w:ascii="Arial" w:hAnsi="Arial" w:cs="Arial"/>
      <w:b/>
      <w:color w:val="000000"/>
      <w:sz w:val="28"/>
      <w:szCs w:val="28"/>
      <w:u w:val="none"/>
    </w:rPr>
  </w:style>
  <w:style w:type="character" w:customStyle="1" w:styleId="11">
    <w:name w:val="font41"/>
    <w:basedOn w:val="5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云南省公安厅</Company>
  <Pages>15</Pages>
  <Words>1325</Words>
  <Characters>7556</Characters>
  <Lines>62</Lines>
  <Paragraphs>17</Paragraphs>
  <TotalTime>1</TotalTime>
  <ScaleCrop>false</ScaleCrop>
  <LinksUpToDate>false</LinksUpToDate>
  <CharactersWithSpaces>8864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2019-09-14T06:32:00Z</dcterms:created>
  <dc:creator>jjzd-qwb</dc:creator>
  <cp:lastModifiedBy>边外</cp:lastModifiedBy>
  <cp:lastPrinted>2019-07-25T08:09:00Z</cp:lastPrinted>
  <dcterms:modified xsi:type="dcterms:W3CDTF">2020-06-24T17:03:04Z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